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264"/>
      </w:pPr>
      <w:r>
        <w:rPr>
          <w:b/>
          <w:bCs/>
          <w:sz w:val="24"/>
          <w:szCs w:val="24"/>
        </w:rPr>
        <w:t xml:space="preserve">iSoftStone, Inc. is seeking a Business Analyst specializing in Fashion Retail / Digital Asset Management to join our Team!</w:t>
      </w:r>
    </w:p>
    <w:p>
      <w:pPr>
        <w:spacing w:after="140" w:line="264"/>
      </w:pPr>
      <w:r>
        <w:rPr>
          <w:sz w:val="24"/>
          <w:szCs w:val="24"/>
        </w:rPr>
        <w:t xml:space="preserve"/>
      </w:r>
    </w:p>
    <w:p>
      <w:pPr>
        <w:spacing w:after="140" w:line="264"/>
      </w:pPr>
      <w:r>
        <w:rPr>
          <w:sz w:val="24"/>
          <w:szCs w:val="24"/>
        </w:rPr>
        <w:t xml:space="preserve">We are hiring a Business Analyst to join the engagement team through discovery and translate workshop findings into the detailed requirements, workflows, and acceptance criteria that will drive a major Cloudinary-based DAM and media delivery modernization. This is a highly visible, requirements-ownership role on a marquee multi-brand retail account, working directly with e-commerce, marketing, and technology stakeholders to turn a fragmented current-state process into a governed target-state design.</w:t>
      </w:r>
    </w:p>
    <w:p>
      <w:pPr>
        <w:spacing w:after="140" w:line="264"/>
      </w:pPr>
      <w:r>
        <w:rPr>
          <w:sz w:val="24"/>
          <w:szCs w:val="24"/>
        </w:rPr>
        <w:t xml:space="preserve"/>
      </w:r>
    </w:p>
    <w:p>
      <w:pPr>
        <w:spacing w:after="40" w:line="278"/>
      </w:pPr>
      <w:r>
        <w:rPr>
          <w:b/>
          <w:bCs/>
          <w:sz w:val="24"/>
          <w:szCs w:val="24"/>
        </w:rPr>
        <w:t xml:space="preserve">Responsibilities:</w:t>
      </w:r>
    </w:p>
    <w:p>
      <w:pPr>
        <w:pStyle w:val="ListParagraph"/>
        <w:numPr>
          <w:ilvl w:val="0"/>
          <w:numId w:val="2"/>
        </w:numPr>
        <w:spacing w:after="60" w:line="264"/>
      </w:pPr>
      <w:r>
        <w:rPr>
          <w:b/>
          <w:bCs/>
          <w:sz w:val="24"/>
          <w:szCs w:val="24"/>
        </w:rPr>
        <w:t xml:space="preserve">Elicit and document detailed functional requirements</w:t>
      </w:r>
      <w:r>
        <w:rPr>
          <w:sz w:val="24"/>
          <w:szCs w:val="24"/>
        </w:rPr>
        <w:t xml:space="preserve"> through stakeholder workshops and interviews across e-commerce/studio, marketing/brand, and technology teams, translating high-level priorities into requirements and acceptance criteria the delivery team can build against.</w:t>
      </w:r>
    </w:p>
    <w:p>
      <w:pPr>
        <w:pStyle w:val="ListParagraph"/>
        <w:numPr>
          <w:ilvl w:val="0"/>
          <w:numId w:val="2"/>
        </w:numPr>
        <w:spacing w:after="60" w:line="264"/>
      </w:pPr>
      <w:r>
        <w:rPr>
          <w:b/>
          <w:bCs/>
          <w:sz w:val="24"/>
          <w:szCs w:val="24"/>
        </w:rPr>
        <w:t xml:space="preserve">Map current-state and target-state asset workflows</w:t>
      </w:r>
      <w:r>
        <w:rPr>
          <w:sz w:val="24"/>
          <w:szCs w:val="24"/>
        </w:rPr>
        <w:t xml:space="preserve"> for studio production (shoot through post-production, approval, and publish) and marketing/brand (content strategy through creative production, review, and distribution), identifying the manual hand-offs and duplicate-copy patterns the program is meant to eliminate.</w:t>
      </w:r>
    </w:p>
    <w:p>
      <w:pPr>
        <w:pStyle w:val="ListParagraph"/>
        <w:numPr>
          <w:ilvl w:val="0"/>
          <w:numId w:val="2"/>
        </w:numPr>
        <w:spacing w:after="60" w:line="264"/>
      </w:pPr>
      <w:r>
        <w:rPr>
          <w:b/>
          <w:bCs/>
          <w:sz w:val="24"/>
          <w:szCs w:val="24"/>
        </w:rPr>
        <w:t xml:space="preserve">Define migration scope and criteria</w:t>
      </w:r>
      <w:r>
        <w:rPr>
          <w:sz w:val="24"/>
          <w:szCs w:val="24"/>
        </w:rPr>
        <w:t xml:space="preserve"> — working with the technology team to translate audit findings (asset counts, sizes, master locations) into concrete migration rules (e.g., SKU activity, inventory/orders) that bound what gets migrated rather than moving everything by default.</w:t>
      </w:r>
    </w:p>
    <w:p>
      <w:pPr>
        <w:pStyle w:val="ListParagraph"/>
        <w:numPr>
          <w:ilvl w:val="0"/>
          <w:numId w:val="2"/>
        </w:numPr>
        <w:spacing w:after="60" w:line="264"/>
      </w:pPr>
      <w:r>
        <w:rPr>
          <w:b/>
          <w:bCs/>
          <w:sz w:val="24"/>
          <w:szCs w:val="24"/>
        </w:rPr>
        <w:t xml:space="preserve">Document integration requirements</w:t>
      </w:r>
      <w:r>
        <w:rPr>
          <w:sz w:val="24"/>
          <w:szCs w:val="24"/>
        </w:rPr>
        <w:t xml:space="preserve"> — specifying how the DAM must exchange status, rights, and product/SKU metadata with adjacent production/rights and product-data systems, including the asset-level (not just project-level) publishing behavior stakeholders need.</w:t>
      </w:r>
    </w:p>
    <w:p>
      <w:pPr>
        <w:pStyle w:val="ListParagraph"/>
        <w:numPr>
          <w:ilvl w:val="0"/>
          <w:numId w:val="2"/>
        </w:numPr>
        <w:spacing w:after="60" w:line="264"/>
      </w:pPr>
      <w:r>
        <w:rPr>
          <w:b/>
          <w:bCs/>
          <w:sz w:val="24"/>
          <w:szCs w:val="24"/>
        </w:rPr>
        <w:t xml:space="preserve">Own the requirements backlog and traceability</w:t>
      </w:r>
      <w:r>
        <w:rPr>
          <w:sz w:val="24"/>
          <w:szCs w:val="24"/>
        </w:rPr>
        <w:t xml:space="preserve"> — maintaining requirements, decisions, and open questions across all delivery phases so scope stays traceable from discovery through governance and hypercare as it's refined.</w:t>
      </w:r>
    </w:p>
    <w:p>
      <w:pPr>
        <w:pStyle w:val="ListParagraph"/>
        <w:numPr>
          <w:ilvl w:val="0"/>
          <w:numId w:val="2"/>
        </w:numPr>
        <w:spacing w:after="60" w:line="264"/>
      </w:pPr>
      <w:r>
        <w:rPr>
          <w:b/>
          <w:bCs/>
          <w:sz w:val="24"/>
          <w:szCs w:val="24"/>
        </w:rPr>
        <w:t xml:space="preserve">Support UAT and acceptance testing</w:t>
      </w:r>
      <w:r>
        <w:rPr>
          <w:sz w:val="24"/>
          <w:szCs w:val="24"/>
        </w:rPr>
        <w:t xml:space="preserve"> — translating requirements into test scenarios and validating delivered functionality (taxonomy, permissions, integrations, derivative rules) against them before phase gates and cutover.</w:t>
      </w:r>
    </w:p>
    <w:p>
      <w:pPr>
        <w:pStyle w:val="ListParagraph"/>
        <w:numPr>
          <w:ilvl w:val="0"/>
          <w:numId w:val="2"/>
        </w:numPr>
        <w:spacing w:after="60" w:line="264"/>
      </w:pPr>
      <w:r>
        <w:rPr>
          <w:b/>
          <w:bCs/>
          <w:sz w:val="24"/>
          <w:szCs w:val="24"/>
        </w:rPr>
        <w:t xml:space="preserve">Document metadata and taxonomy requirements</w:t>
      </w:r>
      <w:r>
        <w:rPr>
          <w:sz w:val="24"/>
          <w:szCs w:val="24"/>
        </w:rPr>
        <w:t xml:space="preserve"> — capturing brand-specific taxonomy needs (e.g., divergent naming and folder conventions across portfolio brands) alongside where shared process is workable across smaller markets.</w:t>
      </w:r>
    </w:p>
    <w:p>
      <w:pPr>
        <w:spacing w:after="40" w:line="278"/>
      </w:pPr>
      <w:r>
        <w:rPr>
          <w:b/>
          <w:bCs/>
          <w:sz w:val="24"/>
          <w:szCs w:val="24"/>
        </w:rPr>
        <w:t xml:space="preserve">Qualifications:</w:t>
      </w:r>
    </w:p>
    <w:p>
      <w:pPr>
        <w:pStyle w:val="ListParagraph"/>
        <w:numPr>
          <w:ilvl w:val="0"/>
          <w:numId w:val="2"/>
        </w:numPr>
        <w:spacing w:after="60" w:line="264"/>
      </w:pPr>
      <w:r>
        <w:rPr>
          <w:sz w:val="24"/>
          <w:szCs w:val="24"/>
        </w:rPr>
        <w:t xml:space="preserve">5+ years of business analysis experience on enterprise software or platform implementation programs, ideally including a DAM, CMS, PIM, or content-operations system.</w:t>
      </w:r>
    </w:p>
    <w:p>
      <w:pPr>
        <w:pStyle w:val="ListParagraph"/>
        <w:numPr>
          <w:ilvl w:val="0"/>
          <w:numId w:val="2"/>
        </w:numPr>
        <w:spacing w:after="60" w:line="264"/>
      </w:pPr>
      <w:r>
        <w:rPr>
          <w:sz w:val="24"/>
          <w:szCs w:val="24"/>
        </w:rPr>
        <w:t xml:space="preserve">Demonstrated experience running requirements-elicitation workshops with cross-functional business stakeholders (e-commerce, marketing/creative, and technology) and turning findings into clear, testable requirements.</w:t>
      </w:r>
    </w:p>
    <w:p>
      <w:pPr>
        <w:pStyle w:val="ListParagraph"/>
        <w:numPr>
          <w:ilvl w:val="0"/>
          <w:numId w:val="2"/>
        </w:numPr>
        <w:spacing w:after="60" w:line="264"/>
      </w:pPr>
      <w:r>
        <w:rPr>
          <w:sz w:val="24"/>
          <w:szCs w:val="24"/>
        </w:rPr>
        <w:t xml:space="preserve">Experience mapping current-state and future-state business processes, including asset or content lifecycle workflows.</w:t>
      </w:r>
    </w:p>
    <w:p>
      <w:pPr>
        <w:pStyle w:val="ListParagraph"/>
        <w:numPr>
          <w:ilvl w:val="0"/>
          <w:numId w:val="2"/>
        </w:numPr>
        <w:spacing w:after="60" w:line="264"/>
      </w:pPr>
      <w:r>
        <w:rPr>
          <w:sz w:val="24"/>
          <w:szCs w:val="24"/>
        </w:rPr>
        <w:t xml:space="preserve">Working knowledge of digital asset management concepts: metadata schema, taxonomy, rights/usage management, and master-plus-derivative asset strategy.</w:t>
      </w:r>
    </w:p>
    <w:p>
      <w:pPr>
        <w:pStyle w:val="ListParagraph"/>
        <w:numPr>
          <w:ilvl w:val="0"/>
          <w:numId w:val="2"/>
        </w:numPr>
        <w:spacing w:after="60" w:line="264"/>
      </w:pPr>
      <w:r>
        <w:rPr>
          <w:sz w:val="24"/>
          <w:szCs w:val="24"/>
        </w:rPr>
        <w:t xml:space="preserve">Comfort working with integration requirements between a DAM/CMS and adjacent systems (production/rights, product/SKU/PIM platforms) even without being the engineer who builds them.</w:t>
      </w:r>
    </w:p>
    <w:p>
      <w:pPr>
        <w:pStyle w:val="ListParagraph"/>
        <w:numPr>
          <w:ilvl w:val="0"/>
          <w:numId w:val="2"/>
        </w:numPr>
        <w:spacing w:after="60" w:line="264"/>
      </w:pPr>
      <w:r>
        <w:rPr>
          <w:sz w:val="24"/>
          <w:szCs w:val="24"/>
        </w:rPr>
        <w:t xml:space="preserve">Strong documentation skills — requirements specs, process maps, traceability matrices, and UAT test scripts.</w:t>
      </w:r>
    </w:p>
    <w:p>
      <w:pPr>
        <w:pStyle w:val="ListParagraph"/>
        <w:numPr>
          <w:ilvl w:val="0"/>
          <w:numId w:val="2"/>
        </w:numPr>
        <w:spacing w:after="60" w:line="264"/>
      </w:pPr>
      <w:r>
        <w:rPr>
          <w:sz w:val="24"/>
          <w:szCs w:val="24"/>
        </w:rPr>
        <w:t xml:space="preserve">Excellent stakeholder communication, able to translate between business, creative, and technical audiences.</w:t>
      </w:r>
    </w:p>
    <w:p>
      <w:pPr>
        <w:spacing w:after="40" w:line="278"/>
      </w:pPr>
      <w:r>
        <w:rPr>
          <w:b/>
          <w:bCs/>
          <w:sz w:val="24"/>
          <w:szCs w:val="24"/>
        </w:rPr>
        <w:t xml:space="preserve">Nice to have:</w:t>
      </w:r>
    </w:p>
    <w:p>
      <w:pPr>
        <w:pStyle w:val="ListParagraph"/>
        <w:numPr>
          <w:ilvl w:val="0"/>
          <w:numId w:val="2"/>
        </w:numPr>
        <w:spacing w:after="60" w:line="264"/>
      </w:pPr>
      <w:r>
        <w:rPr>
          <w:sz w:val="24"/>
          <w:szCs w:val="24"/>
        </w:rPr>
        <w:t xml:space="preserve">Experience specifically with Cloudinary, Adobe AEM Assets/Experience Manager, or Scene7/Dynamic Media.</w:t>
      </w:r>
    </w:p>
    <w:p>
      <w:pPr>
        <w:pStyle w:val="ListParagraph"/>
        <w:numPr>
          <w:ilvl w:val="0"/>
          <w:numId w:val="2"/>
        </w:numPr>
        <w:spacing w:after="60" w:line="264"/>
      </w:pPr>
      <w:r>
        <w:rPr>
          <w:sz w:val="24"/>
          <w:szCs w:val="24"/>
        </w:rPr>
        <w:t xml:space="preserve">Background in fashion, apparel, or accessories retail, particularly multi-brand organizations with brand-specific taxonomy needs.</w:t>
      </w:r>
    </w:p>
    <w:p>
      <w:pPr>
        <w:pStyle w:val="ListParagraph"/>
        <w:numPr>
          <w:ilvl w:val="0"/>
          <w:numId w:val="2"/>
        </w:numPr>
        <w:spacing w:after="60" w:line="264"/>
      </w:pPr>
      <w:r>
        <w:rPr>
          <w:sz w:val="24"/>
          <w:szCs w:val="24"/>
        </w:rPr>
        <w:t xml:space="preserve">Familiarity with agile/hybrid delivery methodologies and backlog tools.</w:t>
      </w:r>
    </w:p>
    <w:p>
      <w:pPr>
        <w:spacing w:after="140" w:line="264"/>
      </w:pPr>
      <w:r>
        <w:rPr>
          <w:sz w:val="24"/>
          <w:szCs w:val="24"/>
        </w:rPr>
        <w:t xml:space="preserve"/>
      </w:r>
    </w:p>
    <w:p>
      <w:pPr>
        <w:spacing w:after="0" w:line="278"/>
      </w:pPr>
      <w:r>
        <w:rPr>
          <w:b/>
          <w:bCs/>
          <w:sz w:val="24"/>
          <w:szCs w:val="24"/>
        </w:rPr>
        <w:t xml:space="preserve">Primary Location: </w:t>
      </w:r>
      <w:r>
        <w:rPr>
          <w:sz w:val="24"/>
          <w:szCs w:val="24"/>
        </w:rPr>
        <w:t xml:space="preserve">Tri-State Area (NY / NJ / CT) — candidates must reside in, or be willing to relocate to, the tri-state area; hybrid on-site presence with the client team in the New York City area is required</w:t>
      </w:r>
    </w:p>
    <w:p>
      <w:pPr>
        <w:spacing w:after="0" w:line="278"/>
      </w:pPr>
      <w:r>
        <w:rPr>
          <w:b/>
          <w:bCs/>
          <w:sz w:val="24"/>
          <w:szCs w:val="24"/>
        </w:rPr>
        <w:t xml:space="preserve">Pay Range: </w:t>
      </w:r>
      <w:r>
        <w:rPr>
          <w:sz w:val="24"/>
          <w:szCs w:val="24"/>
        </w:rPr>
        <w:t xml:space="preserve">$100,000–$130,000 base salary annually, commensurate with experience, plus iSoftStone's full benefits package (see below).</w:t>
      </w:r>
    </w:p>
    <w:p>
      <w:pPr>
        <w:spacing w:after="0" w:line="278"/>
      </w:pPr>
      <w:r>
        <w:rPr>
          <w:b/>
          <w:bCs/>
          <w:sz w:val="24"/>
          <w:szCs w:val="24"/>
        </w:rPr>
        <w:t xml:space="preserve">Benefits: </w:t>
      </w:r>
      <w:r>
        <w:rPr>
          <w:sz w:val="24"/>
          <w:szCs w:val="24"/>
        </w:rPr>
        <w:t xml:space="preserve">Employee with benefits</w:t>
      </w:r>
    </w:p>
    <w:p>
      <w:pPr>
        <w:spacing w:after="0" w:line="278"/>
      </w:pPr>
      <w:r>
        <w:rPr>
          <w:b/>
          <w:bCs/>
          <w:sz w:val="24"/>
          <w:szCs w:val="24"/>
        </w:rPr>
        <w:t xml:space="preserve">Hours: </w:t>
      </w:r>
      <w:r>
        <w:rPr>
          <w:sz w:val="24"/>
          <w:szCs w:val="24"/>
        </w:rPr>
        <w:t xml:space="preserve">This is a full-time role at 40 hours per week.</w:t>
      </w:r>
    </w:p>
    <w:p>
      <w:pPr>
        <w:spacing w:after="0" w:line="278"/>
      </w:pPr>
      <w:r>
        <w:rPr>
          <w:b/>
          <w:bCs/>
          <w:sz w:val="24"/>
          <w:szCs w:val="24"/>
        </w:rPr>
        <w:t xml:space="preserve">Travel: </w:t>
      </w:r>
      <w:r>
        <w:rPr>
          <w:sz w:val="24"/>
          <w:szCs w:val="24"/>
        </w:rPr>
        <w:t xml:space="preserve">Primarily on-site/hybrid with the client in the NYC metro area; minimal additional travel expected</w:t>
      </w:r>
    </w:p>
    <w:p>
      <w:pPr>
        <w:spacing w:after="140" w:line="264"/>
      </w:pPr>
      <w:r>
        <w:rPr>
          <w:sz w:val="24"/>
          <w:szCs w:val="24"/>
        </w:rPr>
        <w:t xml:space="preserve"/>
      </w:r>
    </w:p>
    <w:p>
      <w:pPr>
        <w:spacing w:after="140" w:line="264"/>
      </w:pPr>
      <w:r>
        <w:rPr>
          <w:sz w:val="24"/>
          <w:szCs w:val="24"/>
        </w:rPr>
        <w:t xml:space="preserve">iSoftStone is a global IT service and consulting company that creates value and drives success through technology solutions, service excellence, and digital innovation. We specialize in web and application development, software testing and support, data and content management, digital experience, accessibility, and data for machine learning and AI. With 20 delivery centers and more than 90,000 employees worldwide, iSoftStone is proud to serve some of the world's most well-known businesses, including 90+ Fortune Global 500 companies.</w:t>
      </w:r>
    </w:p>
    <w:p>
      <w:pPr>
        <w:spacing w:after="140" w:line="264"/>
      </w:pPr>
      <w:r>
        <w:rPr>
          <w:sz w:val="24"/>
          <w:szCs w:val="24"/>
        </w:rPr>
        <w:t xml:space="preserve"/>
      </w:r>
    </w:p>
    <w:p>
      <w:pPr>
        <w:spacing w:after="0" w:line="278"/>
      </w:pPr>
      <w:r>
        <w:rPr>
          <w:sz w:val="24"/>
          <w:szCs w:val="24"/>
        </w:rPr>
        <w:t xml:space="preserve">Visit us at </w:t>
      </w:r>
      <w:hyperlink w:history="1" r:id="rId_omyeo5zasqyv8rzu4cgu">
        <w:r>
          <w:rPr>
            <w:b/>
            <w:bCs/>
            <w:color w:val="0563C1"/>
            <w:sz w:val="24"/>
            <w:szCs w:val="24"/>
            <w:u w:val="single"/>
          </w:rPr>
          <w:t xml:space="preserve">https://www.isoftstoneinc.com</w:t>
        </w:r>
      </w:hyperlink>
      <w:r>
        <w:rPr>
          <w:sz w:val="24"/>
          <w:szCs w:val="24"/>
        </w:rPr>
        <w:t xml:space="preserve">.</w:t>
      </w:r>
    </w:p>
    <w:p>
      <w:pPr>
        <w:spacing w:after="140" w:line="264"/>
      </w:pPr>
      <w:r>
        <w:rPr>
          <w:sz w:val="24"/>
          <w:szCs w:val="24"/>
        </w:rPr>
        <w:t xml:space="preserve">iSoftStone is committed to the practice of equal opportunity for all its employees and applicants in employment, and does not discriminate on the basis of race or ethnicity, color, age, national origin, religion, creed, marital status, sex, pregnancy, gender, gender identity, sexual orientation, status as an honorably discharged veteran or disabled veteran or military status, political affiliation or belief, citizenship/status as a lawfully admitted immigrant authorized to work in the United States, or presence of any physical, sensory, or mental disability. In addition, reasonable accommodation will be made for known physical or mental limitations for all otherwise qualified persons with disabilities.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omyeo5zasqyv8rzu4cgu" Type="http://schemas.openxmlformats.org/officeDocument/2006/relationships/hyperlink" Target="https://www.isoftstoneinc.com"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2026-08-27T18:48:06.353Z</dcterms:created>
  <dcterms:modified xsi:type="dcterms:W3CDTF">2026-08-27T18:48:06.353Z</dcterms:modified>
</cp:coreProperties>
</file>

<file path=docProps/custom.xml><?xml version="1.0" encoding="utf-8"?>
<Properties xmlns="http://schemas.openxmlformats.org/officeDocument/2006/custom-properties" xmlns:vt="http://schemas.openxmlformats.org/officeDocument/2006/docPropsVTypes"/>
</file>