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 w:line="264"/>
      </w:pPr>
      <w:r>
        <w:rPr>
          <w:b/>
          <w:bCs/>
          <w:sz w:val="24"/>
          <w:szCs w:val="24"/>
        </w:rPr>
        <w:t xml:space="preserve">iSoftStone, Inc. is seeking a Technical Project Manager specializing in Fashion Retail / Digital Asset Management to join our Team!</w:t>
      </w:r>
    </w:p>
    <w:p>
      <w:pPr>
        <w:spacing w:after="140" w:line="264"/>
      </w:pPr>
      <w:r>
        <w:rPr>
          <w:sz w:val="24"/>
          <w:szCs w:val="24"/>
        </w:rPr>
        <w:t xml:space="preserve"/>
      </w:r>
    </w:p>
    <w:p>
      <w:pPr>
        <w:spacing w:after="140" w:line="264"/>
      </w:pPr>
      <w:r>
        <w:rPr>
          <w:sz w:val="24"/>
          <w:szCs w:val="24"/>
        </w:rPr>
        <w:t xml:space="preserve">We are hiring a Technical Project Manager to own end-to-end delivery of a major Cloudinary-based DAM and media delivery modernization program, from discovery through cutover and hypercare. This is a highly visible role leading a multi-workstream implementation team on a marquee multi-brand retail account, with direct accountability for schedule, scope, risk, and cross-organizational coordination across the client, the platform partner, and iSoftStone's delivery team.</w:t>
      </w:r>
    </w:p>
    <w:p>
      <w:pPr>
        <w:spacing w:after="140" w:line="264"/>
      </w:pPr>
      <w:r>
        <w:rPr>
          <w:sz w:val="24"/>
          <w:szCs w:val="24"/>
        </w:rPr>
        <w:t xml:space="preserve"/>
      </w:r>
    </w:p>
    <w:p>
      <w:pPr>
        <w:spacing w:after="40" w:line="278"/>
      </w:pPr>
      <w:r>
        <w:rPr>
          <w:b/>
          <w:bCs/>
          <w:sz w:val="24"/>
          <w:szCs w:val="24"/>
        </w:rPr>
        <w:t xml:space="preserve">Responsibilities:</w:t>
      </w:r>
    </w:p>
    <w:p>
      <w:pPr>
        <w:pStyle w:val="ListParagraph"/>
        <w:numPr>
          <w:ilvl w:val="0"/>
          <w:numId w:val="2"/>
        </w:numPr>
        <w:spacing w:after="60" w:line="264"/>
      </w:pPr>
      <w:r>
        <w:rPr>
          <w:b/>
          <w:bCs/>
          <w:sz w:val="24"/>
          <w:szCs w:val="24"/>
        </w:rPr>
        <w:t xml:space="preserve">Own end-to-end program delivery</w:t>
      </w:r>
      <w:r>
        <w:rPr>
          <w:sz w:val="24"/>
          <w:szCs w:val="24"/>
        </w:rPr>
        <w:t xml:space="preserve"> across the full phased roadmap — discovery/audit, foundation, integration &amp; automation, search &amp; enrichment, global/platform, and governance &amp; hypercare — managing scope, schedule, and budget against SOW commitments.</w:t>
      </w:r>
    </w:p>
    <w:p>
      <w:pPr>
        <w:pStyle w:val="ListParagraph"/>
        <w:numPr>
          <w:ilvl w:val="0"/>
          <w:numId w:val="2"/>
        </w:numPr>
        <w:spacing w:after="60" w:line="264"/>
      </w:pPr>
      <w:r>
        <w:rPr>
          <w:b/>
          <w:bCs/>
          <w:sz w:val="24"/>
          <w:szCs w:val="24"/>
        </w:rPr>
        <w:t xml:space="preserve">Manage the delivery team and staffing plan</w:t>
      </w:r>
      <w:r>
        <w:rPr>
          <w:sz w:val="24"/>
          <w:szCs w:val="24"/>
        </w:rPr>
        <w:t xml:space="preserve">, coordinating the Implementation Consultant, onshore/offshore engineering resources, Change Management Consultant, and DAM Manager, plus the platform partner's advisory Solution Architect, ramping allocation appropriately phase to phase.</w:t>
      </w:r>
    </w:p>
    <w:p>
      <w:pPr>
        <w:pStyle w:val="ListParagraph"/>
        <w:numPr>
          <w:ilvl w:val="0"/>
          <w:numId w:val="2"/>
        </w:numPr>
        <w:spacing w:after="60" w:line="264"/>
      </w:pPr>
      <w:r>
        <w:rPr>
          <w:b/>
          <w:bCs/>
          <w:sz w:val="24"/>
          <w:szCs w:val="24"/>
        </w:rPr>
        <w:t xml:space="preserve">Track milestones and critical path</w:t>
      </w:r>
      <w:r>
        <w:rPr>
          <w:sz w:val="24"/>
          <w:szCs w:val="24"/>
        </w:rPr>
        <w:t xml:space="preserve">, including parallel workstreams (e.g., search/enrichment and global/platform running concurrently once integration is live), keeping phase-gate readiness visible to stakeholders.</w:t>
      </w:r>
    </w:p>
    <w:p>
      <w:pPr>
        <w:pStyle w:val="ListParagraph"/>
        <w:numPr>
          <w:ilvl w:val="0"/>
          <w:numId w:val="2"/>
        </w:numPr>
        <w:spacing w:after="60" w:line="264"/>
      </w:pPr>
      <w:r>
        <w:rPr>
          <w:b/>
          <w:bCs/>
          <w:sz w:val="24"/>
          <w:szCs w:val="24"/>
        </w:rPr>
        <w:t xml:space="preserve">Run risk and issue management</w:t>
      </w:r>
      <w:r>
        <w:rPr>
          <w:sz w:val="24"/>
          <w:szCs w:val="24"/>
        </w:rPr>
        <w:t xml:space="preserve"> — maintaining the program's risk register and driving resolution of open items (e.g., rights/expiration compliance gaps, undefined migration criteria, unresolved integration paths, unconfirmed regional delivery architecture) before they block downstream phases.</w:t>
      </w:r>
    </w:p>
    <w:p>
      <w:pPr>
        <w:pStyle w:val="ListParagraph"/>
        <w:numPr>
          <w:ilvl w:val="0"/>
          <w:numId w:val="2"/>
        </w:numPr>
        <w:spacing w:after="60" w:line="264"/>
      </w:pPr>
      <w:r>
        <w:rPr>
          <w:b/>
          <w:bCs/>
          <w:sz w:val="24"/>
          <w:szCs w:val="24"/>
        </w:rPr>
        <w:t xml:space="preserve">Coordinate cross-organizational stakeholders</w:t>
      </w:r>
      <w:r>
        <w:rPr>
          <w:sz w:val="24"/>
          <w:szCs w:val="24"/>
        </w:rPr>
        <w:t xml:space="preserve">, running steering and status cadences across the client's technology, e-commerce, and marketing/brand teams, the platform partner, and iSoftStone leadership.</w:t>
      </w:r>
    </w:p>
    <w:p>
      <w:pPr>
        <w:pStyle w:val="ListParagraph"/>
        <w:numPr>
          <w:ilvl w:val="0"/>
          <w:numId w:val="2"/>
        </w:numPr>
        <w:spacing w:after="60" w:line="264"/>
      </w:pPr>
      <w:r>
        <w:rPr>
          <w:b/>
          <w:bCs/>
          <w:sz w:val="24"/>
          <w:szCs w:val="24"/>
        </w:rPr>
        <w:t xml:space="preserve">Manage scope and change control</w:t>
      </w:r>
      <w:r>
        <w:rPr>
          <w:sz w:val="24"/>
          <w:szCs w:val="24"/>
        </w:rPr>
        <w:t xml:space="preserve"> as sizing is refined following the discovery-phase audit, keeping the SOW, staffing plan, and timeline aligned to actual migration volume and integration complexity.</w:t>
      </w:r>
    </w:p>
    <w:p>
      <w:pPr>
        <w:pStyle w:val="ListParagraph"/>
        <w:numPr>
          <w:ilvl w:val="0"/>
          <w:numId w:val="2"/>
        </w:numPr>
        <w:spacing w:after="60" w:line="264"/>
      </w:pPr>
      <w:r>
        <w:rPr>
          <w:b/>
          <w:bCs/>
          <w:sz w:val="24"/>
          <w:szCs w:val="24"/>
        </w:rPr>
        <w:t xml:space="preserve">Report program status</w:t>
      </w:r>
      <w:r>
        <w:rPr>
          <w:sz w:val="24"/>
          <w:szCs w:val="24"/>
        </w:rPr>
        <w:t xml:space="preserve"> to client and iSoftStone leadership, including staffing ramp, budget burn, milestone health, and phase-gate readiness.</w:t>
      </w:r>
    </w:p>
    <w:p>
      <w:pPr>
        <w:pStyle w:val="ListParagraph"/>
        <w:numPr>
          <w:ilvl w:val="0"/>
          <w:numId w:val="2"/>
        </w:numPr>
        <w:spacing w:after="60" w:line="264"/>
      </w:pPr>
      <w:r>
        <w:rPr>
          <w:b/>
          <w:bCs/>
          <w:sz w:val="24"/>
          <w:szCs w:val="24"/>
        </w:rPr>
        <w:t xml:space="preserve">Drive cutover and hypercare planning</w:t>
      </w:r>
      <w:r>
        <w:rPr>
          <w:sz w:val="24"/>
          <w:szCs w:val="24"/>
        </w:rPr>
        <w:t xml:space="preserve">, partnering with the Change Management Consultant and DAM Manager on go-live readiness, hypercare intensity, and the transition to steady-state governance.</w:t>
      </w:r>
    </w:p>
    <w:p>
      <w:pPr>
        <w:spacing w:after="40" w:line="278"/>
      </w:pPr>
      <w:r>
        <w:rPr>
          <w:b/>
          <w:bCs/>
          <w:sz w:val="24"/>
          <w:szCs w:val="24"/>
        </w:rPr>
        <w:t xml:space="preserve">Qualifications:</w:t>
      </w:r>
    </w:p>
    <w:p>
      <w:pPr>
        <w:pStyle w:val="ListParagraph"/>
        <w:numPr>
          <w:ilvl w:val="0"/>
          <w:numId w:val="2"/>
        </w:numPr>
        <w:spacing w:after="60" w:line="264"/>
      </w:pPr>
      <w:r>
        <w:rPr>
          <w:sz w:val="24"/>
          <w:szCs w:val="24"/>
        </w:rPr>
        <w:t xml:space="preserve">7+ years of technical project/program management experience delivering enterprise software or platform implementations, ideally including a DAM, CMS, PIM, or content-operations/digital-experience platform.</w:t>
      </w:r>
    </w:p>
    <w:p>
      <w:pPr>
        <w:pStyle w:val="ListParagraph"/>
        <w:numPr>
          <w:ilvl w:val="0"/>
          <w:numId w:val="2"/>
        </w:numPr>
        <w:spacing w:after="60" w:line="264"/>
      </w:pPr>
      <w:r>
        <w:rPr>
          <w:sz w:val="24"/>
          <w:szCs w:val="24"/>
        </w:rPr>
        <w:t xml:space="preserve">Proven experience managing multi-phase programs with parallel workstreams, cross-functional teams (onshore/offshore), and external partner/vendor coordination.</w:t>
      </w:r>
    </w:p>
    <w:p>
      <w:pPr>
        <w:pStyle w:val="ListParagraph"/>
        <w:numPr>
          <w:ilvl w:val="0"/>
          <w:numId w:val="2"/>
        </w:numPr>
        <w:spacing w:after="60" w:line="264"/>
      </w:pPr>
      <w:r>
        <w:rPr>
          <w:sz w:val="24"/>
          <w:szCs w:val="24"/>
        </w:rPr>
        <w:t xml:space="preserve">Strong command of program risk, budget, and scope management, including experience running formal SOW/change-control processes.</w:t>
      </w:r>
    </w:p>
    <w:p>
      <w:pPr>
        <w:pStyle w:val="ListParagraph"/>
        <w:numPr>
          <w:ilvl w:val="0"/>
          <w:numId w:val="2"/>
        </w:numPr>
        <w:spacing w:after="60" w:line="264"/>
      </w:pPr>
      <w:r>
        <w:rPr>
          <w:sz w:val="24"/>
          <w:szCs w:val="24"/>
        </w:rPr>
        <w:t xml:space="preserve">Experience managing integration-heavy programs — coordinating system-to-system integration work (e.g., between a DAM/CMS and production, rights, or product-data systems) even without personally building the integrations.</w:t>
      </w:r>
    </w:p>
    <w:p>
      <w:pPr>
        <w:pStyle w:val="ListParagraph"/>
        <w:numPr>
          <w:ilvl w:val="0"/>
          <w:numId w:val="2"/>
        </w:numPr>
        <w:spacing w:after="60" w:line="264"/>
      </w:pPr>
      <w:r>
        <w:rPr>
          <w:sz w:val="24"/>
          <w:szCs w:val="24"/>
        </w:rPr>
        <w:t xml:space="preserve">Excellent executive-level communication and stakeholder management, able to run steering-committee and status reporting across client and delivery organizations.</w:t>
      </w:r>
    </w:p>
    <w:p>
      <w:pPr>
        <w:pStyle w:val="ListParagraph"/>
        <w:numPr>
          <w:ilvl w:val="0"/>
          <w:numId w:val="2"/>
        </w:numPr>
        <w:spacing w:after="60" w:line="264"/>
      </w:pPr>
      <w:r>
        <w:rPr>
          <w:sz w:val="24"/>
          <w:szCs w:val="24"/>
        </w:rPr>
        <w:t xml:space="preserve">Experience planning and executing cutover/go-live events and post-launch hypercare/stabilization periods.</w:t>
      </w:r>
    </w:p>
    <w:p>
      <w:pPr>
        <w:pStyle w:val="ListParagraph"/>
        <w:numPr>
          <w:ilvl w:val="0"/>
          <w:numId w:val="2"/>
        </w:numPr>
        <w:spacing w:after="60" w:line="264"/>
      </w:pPr>
      <w:r>
        <w:rPr>
          <w:sz w:val="24"/>
          <w:szCs w:val="24"/>
        </w:rPr>
        <w:t xml:space="preserve">PMP, PMI-ACP, or equivalent certification preferred but not required.</w:t>
      </w:r>
    </w:p>
    <w:p>
      <w:pPr>
        <w:spacing w:after="40" w:line="278"/>
      </w:pPr>
      <w:r>
        <w:rPr>
          <w:b/>
          <w:bCs/>
          <w:sz w:val="24"/>
          <w:szCs w:val="24"/>
        </w:rPr>
        <w:t xml:space="preserve">Nice to have:</w:t>
      </w:r>
    </w:p>
    <w:p>
      <w:pPr>
        <w:pStyle w:val="ListParagraph"/>
        <w:numPr>
          <w:ilvl w:val="0"/>
          <w:numId w:val="2"/>
        </w:numPr>
        <w:spacing w:after="60" w:line="264"/>
      </w:pPr>
      <w:r>
        <w:rPr>
          <w:sz w:val="24"/>
          <w:szCs w:val="24"/>
        </w:rPr>
        <w:t xml:space="preserve">Experience specifically with Cloudinary, Adobe AEM Assets/Experience Manager, or Scene7/Dynamic Media implementations.</w:t>
      </w:r>
    </w:p>
    <w:p>
      <w:pPr>
        <w:pStyle w:val="ListParagraph"/>
        <w:numPr>
          <w:ilvl w:val="0"/>
          <w:numId w:val="2"/>
        </w:numPr>
        <w:spacing w:after="60" w:line="264"/>
      </w:pPr>
      <w:r>
        <w:rPr>
          <w:sz w:val="24"/>
          <w:szCs w:val="24"/>
        </w:rPr>
        <w:t xml:space="preserve">Background in fashion, apparel, or accessories retail, or another asset-intensive consumer brand environment.</w:t>
      </w:r>
    </w:p>
    <w:p>
      <w:pPr>
        <w:pStyle w:val="ListParagraph"/>
        <w:numPr>
          <w:ilvl w:val="0"/>
          <w:numId w:val="2"/>
        </w:numPr>
        <w:spacing w:after="60" w:line="264"/>
      </w:pPr>
      <w:r>
        <w:rPr>
          <w:sz w:val="24"/>
          <w:szCs w:val="24"/>
        </w:rPr>
        <w:t xml:space="preserve">Experience managing global or multi-region technical delivery, including CDN and regional platform considerations.</w:t>
      </w:r>
    </w:p>
    <w:p>
      <w:pPr>
        <w:spacing w:after="140" w:line="264"/>
      </w:pPr>
      <w:r>
        <w:rPr>
          <w:sz w:val="24"/>
          <w:szCs w:val="24"/>
        </w:rPr>
        <w:t xml:space="preserve"/>
      </w:r>
    </w:p>
    <w:p>
      <w:pPr>
        <w:spacing w:after="0" w:line="278"/>
      </w:pPr>
      <w:r>
        <w:rPr>
          <w:b/>
          <w:bCs/>
          <w:sz w:val="24"/>
          <w:szCs w:val="24"/>
        </w:rPr>
        <w:t xml:space="preserve">Primary Location: </w:t>
      </w:r>
      <w:r>
        <w:rPr>
          <w:sz w:val="24"/>
          <w:szCs w:val="24"/>
        </w:rPr>
        <w:t xml:space="preserve">Tri-State Area (NY / NJ / CT) — candidates must reside in, or be willing to relocate to, the tri-state area; hybrid on-site presence with the client team in the New York City area is required</w:t>
      </w:r>
    </w:p>
    <w:p>
      <w:pPr>
        <w:spacing w:after="0" w:line="278"/>
      </w:pPr>
      <w:r>
        <w:rPr>
          <w:b/>
          <w:bCs/>
          <w:sz w:val="24"/>
          <w:szCs w:val="24"/>
        </w:rPr>
        <w:t xml:space="preserve">Pay Range: </w:t>
      </w:r>
      <w:r>
        <w:rPr>
          <w:sz w:val="24"/>
          <w:szCs w:val="24"/>
        </w:rPr>
        <w:t xml:space="preserve">$130,000–$165,000 base salary annually, commensurate with experience, plus iSoftStone's full benefits package (see below).</w:t>
      </w:r>
    </w:p>
    <w:p>
      <w:pPr>
        <w:spacing w:after="0" w:line="278"/>
      </w:pPr>
      <w:r>
        <w:rPr>
          <w:b/>
          <w:bCs/>
          <w:sz w:val="24"/>
          <w:szCs w:val="24"/>
        </w:rPr>
        <w:t xml:space="preserve">Benefits: </w:t>
      </w:r>
      <w:r>
        <w:rPr>
          <w:sz w:val="24"/>
          <w:szCs w:val="24"/>
        </w:rPr>
        <w:t xml:space="preserve">Employee with benefits</w:t>
      </w:r>
    </w:p>
    <w:p>
      <w:pPr>
        <w:spacing w:after="0" w:line="278"/>
      </w:pPr>
      <w:r>
        <w:rPr>
          <w:b/>
          <w:bCs/>
          <w:sz w:val="24"/>
          <w:szCs w:val="24"/>
        </w:rPr>
        <w:t xml:space="preserve">Hours: </w:t>
      </w:r>
      <w:r>
        <w:rPr>
          <w:sz w:val="24"/>
          <w:szCs w:val="24"/>
        </w:rPr>
        <w:t xml:space="preserve">This is a full-time role at 40 hours per week.</w:t>
      </w:r>
    </w:p>
    <w:p>
      <w:pPr>
        <w:spacing w:after="0" w:line="278"/>
      </w:pPr>
      <w:r>
        <w:rPr>
          <w:b/>
          <w:bCs/>
          <w:sz w:val="24"/>
          <w:szCs w:val="24"/>
        </w:rPr>
        <w:t xml:space="preserve">Travel: </w:t>
      </w:r>
      <w:r>
        <w:rPr>
          <w:sz w:val="24"/>
          <w:szCs w:val="24"/>
        </w:rPr>
        <w:t xml:space="preserve">Primarily on-site/hybrid with the client in the NYC metro area; minimal additional travel expected</w:t>
      </w:r>
    </w:p>
    <w:p>
      <w:pPr>
        <w:spacing w:after="140" w:line="264"/>
      </w:pPr>
      <w:r>
        <w:rPr>
          <w:sz w:val="24"/>
          <w:szCs w:val="24"/>
        </w:rPr>
        <w:t xml:space="preserve"/>
      </w:r>
    </w:p>
    <w:p>
      <w:pPr>
        <w:spacing w:after="140" w:line="264"/>
      </w:pPr>
      <w:r>
        <w:rPr>
          <w:sz w:val="24"/>
          <w:szCs w:val="24"/>
        </w:rPr>
        <w:t xml:space="preserve">iSoftStone is a global IT service and consulting company that creates value and drives success through technology solutions, service excellence, and digital innovation. We specialize in web and application development, software testing and support, data and content management, digital experience, accessibility, and data for machine learning and AI. With 20 delivery centers and more than 90,000 employees worldwide, iSoftStone is proud to serve some of the world's most well-known businesses, including 90+ Fortune Global 500 companies.</w:t>
      </w:r>
    </w:p>
    <w:p>
      <w:pPr>
        <w:spacing w:after="140" w:line="264"/>
      </w:pPr>
      <w:r>
        <w:rPr>
          <w:sz w:val="24"/>
          <w:szCs w:val="24"/>
        </w:rPr>
        <w:t xml:space="preserve"/>
      </w:r>
    </w:p>
    <w:p>
      <w:pPr>
        <w:spacing w:after="0" w:line="278"/>
      </w:pPr>
      <w:r>
        <w:rPr>
          <w:sz w:val="24"/>
          <w:szCs w:val="24"/>
        </w:rPr>
        <w:t xml:space="preserve">Visit us at </w:t>
      </w:r>
      <w:hyperlink w:history="1" r:id="rIdnukcffim3x1bgptq4v-as">
        <w:r>
          <w:rPr>
            <w:b/>
            <w:bCs/>
            <w:color w:val="0563C1"/>
            <w:sz w:val="24"/>
            <w:szCs w:val="24"/>
            <w:u w:val="single"/>
          </w:rPr>
          <w:t xml:space="preserve">https://www.isoftstoneinc.com</w:t>
        </w:r>
      </w:hyperlink>
      <w:r>
        <w:rPr>
          <w:sz w:val="24"/>
          <w:szCs w:val="24"/>
        </w:rPr>
        <w:t xml:space="preserve">.</w:t>
      </w:r>
    </w:p>
    <w:p>
      <w:pPr>
        <w:spacing w:after="140" w:line="264"/>
      </w:pPr>
      <w:r>
        <w:rPr>
          <w:sz w:val="24"/>
          <w:szCs w:val="24"/>
        </w:rPr>
        <w:t xml:space="preserve">iSoftStone is committed to the practice of equal opportunity for all its employees and applicants in employment, and does not discriminate on the basis of race or ethnicity, color, age, national origin, religion, creed, marital status, sex, pregnancy, gender, gender identity, sexual orientation, status as an honorably discharged veteran or disabled veteran or military status, political affiliation or belief, citizenship/status as a lawfully admitted immigrant authorized to work in the United States, or presence of any physical, sensory, or mental disability. In addition, reasonable accommodation will be made for known physical or mental limitations for all otherwise qualified persons with disabilities.</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ukcffim3x1bgptq4v-as" Type="http://schemas.openxmlformats.org/officeDocument/2006/relationships/hyperlink" Target="https://www.isoftstoneinc.com"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2026-08-27T18:48:08.235Z</dcterms:created>
  <dcterms:modified xsi:type="dcterms:W3CDTF">2026-08-27T18:48:08.235Z</dcterms:modified>
</cp:coreProperties>
</file>

<file path=docProps/custom.xml><?xml version="1.0" encoding="utf-8"?>
<Properties xmlns="http://schemas.openxmlformats.org/officeDocument/2006/custom-properties" xmlns:vt="http://schemas.openxmlformats.org/officeDocument/2006/docPropsVTypes"/>
</file>